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A756B" w14:textId="340E3C79" w:rsidR="000015E1" w:rsidRPr="002705E7" w:rsidRDefault="002705E7" w:rsidP="002705E7">
      <w:pPr>
        <w:spacing w:after="0"/>
        <w:jc w:val="center"/>
        <w:rPr>
          <w:b/>
          <w:bCs/>
        </w:rPr>
      </w:pPr>
      <w:r w:rsidRPr="002705E7">
        <w:rPr>
          <w:b/>
          <w:bCs/>
        </w:rPr>
        <w:t>Phụ lục</w:t>
      </w:r>
    </w:p>
    <w:p w14:paraId="10D53C70" w14:textId="58D579AE" w:rsidR="002705E7" w:rsidRDefault="002705E7" w:rsidP="002705E7">
      <w:pPr>
        <w:jc w:val="center"/>
        <w:rPr>
          <w:spacing w:val="2"/>
        </w:rPr>
      </w:pPr>
      <w:r w:rsidRPr="002705E7">
        <w:t>(</w:t>
      </w:r>
      <w:r w:rsidRPr="002705E7">
        <w:rPr>
          <w:i/>
          <w:iCs/>
        </w:rPr>
        <w:t xml:space="preserve">Kèm theo Báo cáo </w:t>
      </w:r>
      <w:r w:rsidRPr="002705E7">
        <w:rPr>
          <w:i/>
          <w:iCs/>
          <w:spacing w:val="2"/>
        </w:rPr>
        <w:t>số         /BC-STC ngày      /     /2025 của Sở Tài chính</w:t>
      </w:r>
      <w:r w:rsidRPr="002705E7">
        <w:rPr>
          <w:spacing w:val="2"/>
        </w:rPr>
        <w:t>)</w:t>
      </w:r>
    </w:p>
    <w:p w14:paraId="10112414" w14:textId="1098D9A9" w:rsidR="004E7D56" w:rsidRPr="00424A4B" w:rsidRDefault="004E7D56" w:rsidP="004E7D56">
      <w:pPr>
        <w:ind w:firstLine="567"/>
        <w:jc w:val="both"/>
        <w:rPr>
          <w:b/>
          <w:bCs/>
          <w:spacing w:val="2"/>
        </w:rPr>
      </w:pPr>
      <w:r>
        <w:rPr>
          <w:b/>
          <w:bCs/>
          <w:spacing w:val="2"/>
        </w:rPr>
        <w:t>1. Chủ trương, đường lối của Đảng có liên quan đến chính sách</w:t>
      </w:r>
      <w:r w:rsidRPr="00424A4B">
        <w:rPr>
          <w:b/>
          <w:bCs/>
          <w:spacing w:val="2"/>
        </w:rPr>
        <w:t xml:space="preserve"> </w:t>
      </w:r>
    </w:p>
    <w:tbl>
      <w:tblPr>
        <w:tblStyle w:val="TableGrid"/>
        <w:tblW w:w="14737" w:type="dxa"/>
        <w:tblLook w:val="04A0" w:firstRow="1" w:lastRow="0" w:firstColumn="1" w:lastColumn="0" w:noHBand="0" w:noVBand="1"/>
      </w:tblPr>
      <w:tblGrid>
        <w:gridCol w:w="4106"/>
        <w:gridCol w:w="5240"/>
        <w:gridCol w:w="2834"/>
        <w:gridCol w:w="2557"/>
      </w:tblGrid>
      <w:tr w:rsidR="009771E3" w:rsidRPr="007C6B34" w14:paraId="4C21CDAA" w14:textId="77777777" w:rsidTr="009771E3">
        <w:tc>
          <w:tcPr>
            <w:tcW w:w="4106" w:type="dxa"/>
            <w:vAlign w:val="center"/>
          </w:tcPr>
          <w:p w14:paraId="39AD8A28" w14:textId="2C3F47C9" w:rsidR="009771E3" w:rsidRPr="007C6B34" w:rsidRDefault="009771E3" w:rsidP="002F08EF">
            <w:pPr>
              <w:jc w:val="center"/>
              <w:rPr>
                <w:b/>
                <w:bCs/>
                <w:sz w:val="26"/>
                <w:szCs w:val="26"/>
              </w:rPr>
            </w:pPr>
            <w:r>
              <w:rPr>
                <w:b/>
                <w:bCs/>
                <w:sz w:val="26"/>
                <w:szCs w:val="26"/>
              </w:rPr>
              <w:t>CHÍNH SÁCH/</w:t>
            </w:r>
            <w:r w:rsidRPr="00D510AD">
              <w:rPr>
                <w:b/>
                <w:bCs/>
                <w:sz w:val="26"/>
                <w:szCs w:val="26"/>
              </w:rPr>
              <w:t>QUY ĐỊNH CỦA DỰ THẢO</w:t>
            </w:r>
          </w:p>
        </w:tc>
        <w:tc>
          <w:tcPr>
            <w:tcW w:w="5240" w:type="dxa"/>
            <w:vAlign w:val="center"/>
          </w:tcPr>
          <w:p w14:paraId="7CA1CF0E" w14:textId="7D1F6D35" w:rsidR="009771E3" w:rsidRPr="007C6B34" w:rsidRDefault="009771E3" w:rsidP="00C35779">
            <w:pPr>
              <w:jc w:val="center"/>
              <w:rPr>
                <w:b/>
                <w:bCs/>
                <w:sz w:val="26"/>
                <w:szCs w:val="26"/>
              </w:rPr>
            </w:pPr>
            <w:r w:rsidRPr="007C6B34">
              <w:rPr>
                <w:b/>
                <w:bCs/>
                <w:sz w:val="26"/>
                <w:szCs w:val="26"/>
              </w:rPr>
              <w:t>CHỦ TRƯƠNG, ĐƯỜNG LỐI CỦA ĐẢNG</w:t>
            </w:r>
          </w:p>
        </w:tc>
        <w:tc>
          <w:tcPr>
            <w:tcW w:w="2834" w:type="dxa"/>
            <w:vAlign w:val="center"/>
          </w:tcPr>
          <w:p w14:paraId="6EDDC7FD" w14:textId="308B392C" w:rsidR="009771E3" w:rsidRPr="007C6B34" w:rsidRDefault="009771E3" w:rsidP="00C35779">
            <w:pPr>
              <w:jc w:val="center"/>
              <w:rPr>
                <w:b/>
                <w:bCs/>
                <w:sz w:val="26"/>
                <w:szCs w:val="26"/>
              </w:rPr>
            </w:pPr>
            <w:r w:rsidRPr="007C6B34">
              <w:rPr>
                <w:b/>
                <w:bCs/>
                <w:sz w:val="26"/>
                <w:szCs w:val="26"/>
              </w:rPr>
              <w:t>ĐÁNH GIÁ (Đã thể chế đầy đủ hoặc một phần)</w:t>
            </w:r>
          </w:p>
        </w:tc>
        <w:tc>
          <w:tcPr>
            <w:tcW w:w="2557" w:type="dxa"/>
            <w:vAlign w:val="center"/>
          </w:tcPr>
          <w:p w14:paraId="4D4E33B0" w14:textId="741E5630" w:rsidR="009771E3" w:rsidRPr="007C6B34" w:rsidRDefault="009771E3" w:rsidP="00C35779">
            <w:pPr>
              <w:jc w:val="center"/>
              <w:rPr>
                <w:b/>
                <w:bCs/>
                <w:sz w:val="26"/>
                <w:szCs w:val="26"/>
              </w:rPr>
            </w:pPr>
            <w:r w:rsidRPr="007C6B34">
              <w:rPr>
                <w:b/>
                <w:bCs/>
                <w:sz w:val="26"/>
                <w:szCs w:val="26"/>
              </w:rPr>
              <w:t>ĐỀ XUẤT XỬ LÝ</w:t>
            </w:r>
          </w:p>
        </w:tc>
      </w:tr>
      <w:tr w:rsidR="009771E3" w:rsidRPr="007C6B34" w14:paraId="55248524" w14:textId="77777777" w:rsidTr="009771E3">
        <w:tc>
          <w:tcPr>
            <w:tcW w:w="4106" w:type="dxa"/>
          </w:tcPr>
          <w:p w14:paraId="1B82DC0C" w14:textId="5971B74C" w:rsidR="009771E3" w:rsidRPr="007C6B34" w:rsidRDefault="009771E3" w:rsidP="00FF66E4">
            <w:pPr>
              <w:jc w:val="both"/>
              <w:rPr>
                <w:sz w:val="26"/>
                <w:szCs w:val="26"/>
              </w:rPr>
            </w:pPr>
            <w:r w:rsidRPr="00D510AD">
              <w:rPr>
                <w:sz w:val="26"/>
                <w:szCs w:val="26"/>
              </w:rPr>
              <w:t xml:space="preserve">Ban hành </w:t>
            </w:r>
            <w:r w:rsidRPr="00D510AD">
              <w:rPr>
                <w:sz w:val="26"/>
                <w:szCs w:val="26"/>
                <w:lang w:val="vi-VN"/>
              </w:rPr>
              <w:t xml:space="preserve">Quy chế phối hợp cung cấp thông tin để kiểm tra, đối chiếu kết quả đăng nhập dữ liệu tài sản công vào cơ sở dữ liệu quốc gia và sử dụng thông tin lưu giữ </w:t>
            </w:r>
            <w:r w:rsidRPr="00D510AD">
              <w:rPr>
                <w:sz w:val="26"/>
                <w:szCs w:val="26"/>
              </w:rPr>
              <w:t>tr</w:t>
            </w:r>
            <w:r w:rsidRPr="00D510AD">
              <w:rPr>
                <w:sz w:val="26"/>
                <w:szCs w:val="26"/>
                <w:lang w:val="vi-VN"/>
              </w:rPr>
              <w:t>ong cơ sở dữ liệu quốc gia trên địa bàn tỉnh Quảng Ngãi</w:t>
            </w:r>
          </w:p>
        </w:tc>
        <w:tc>
          <w:tcPr>
            <w:tcW w:w="5240" w:type="dxa"/>
            <w:vAlign w:val="center"/>
          </w:tcPr>
          <w:p w14:paraId="2B97025C" w14:textId="5199FCC4" w:rsidR="009771E3" w:rsidRPr="007C6B34" w:rsidRDefault="009771E3" w:rsidP="00FF66E4">
            <w:pPr>
              <w:jc w:val="both"/>
              <w:rPr>
                <w:sz w:val="26"/>
                <w:szCs w:val="26"/>
              </w:rPr>
            </w:pPr>
            <w:r w:rsidRPr="007C6B34">
              <w:rPr>
                <w:sz w:val="26"/>
                <w:szCs w:val="26"/>
              </w:rPr>
              <w:t>- Thực hiện mô hình quản lý bộ máy nhà nước theo chính quyền địa phương 02 cấp;</w:t>
            </w:r>
          </w:p>
          <w:p w14:paraId="47DBCDB8" w14:textId="325414F2" w:rsidR="009771E3" w:rsidRPr="007C6B34" w:rsidRDefault="009771E3" w:rsidP="00FF66E4">
            <w:pPr>
              <w:jc w:val="both"/>
              <w:rPr>
                <w:sz w:val="26"/>
                <w:szCs w:val="26"/>
              </w:rPr>
            </w:pPr>
            <w:r w:rsidRPr="007C6B34">
              <w:rPr>
                <w:sz w:val="26"/>
                <w:szCs w:val="26"/>
              </w:rPr>
              <w:t>- Thực hiện sáp nhập đơn vị hành chính cấp tỉnh.</w:t>
            </w:r>
          </w:p>
        </w:tc>
        <w:tc>
          <w:tcPr>
            <w:tcW w:w="2834" w:type="dxa"/>
            <w:vAlign w:val="center"/>
          </w:tcPr>
          <w:p w14:paraId="20BC5A5D" w14:textId="7500AB89" w:rsidR="009771E3" w:rsidRPr="007C6B34" w:rsidRDefault="009771E3" w:rsidP="00FF66E4">
            <w:pPr>
              <w:jc w:val="both"/>
              <w:rPr>
                <w:sz w:val="26"/>
                <w:szCs w:val="26"/>
              </w:rPr>
            </w:pPr>
            <w:r>
              <w:rPr>
                <w:sz w:val="26"/>
                <w:szCs w:val="26"/>
              </w:rPr>
              <w:t>Đã thể chế đầy đủ về phạm vi điều chỉnh, đối tượng áp dụng</w:t>
            </w:r>
          </w:p>
        </w:tc>
        <w:tc>
          <w:tcPr>
            <w:tcW w:w="2557" w:type="dxa"/>
            <w:vAlign w:val="center"/>
          </w:tcPr>
          <w:p w14:paraId="74E375A1" w14:textId="4C706BBC" w:rsidR="009771E3" w:rsidRPr="007C6B34" w:rsidRDefault="009771E3" w:rsidP="00FF66E4">
            <w:pPr>
              <w:jc w:val="both"/>
              <w:rPr>
                <w:sz w:val="26"/>
                <w:szCs w:val="26"/>
              </w:rPr>
            </w:pPr>
            <w:r>
              <w:rPr>
                <w:sz w:val="26"/>
                <w:szCs w:val="26"/>
              </w:rPr>
              <w:t>Không</w:t>
            </w:r>
          </w:p>
        </w:tc>
      </w:tr>
    </w:tbl>
    <w:p w14:paraId="7234071B" w14:textId="3D0BA88F" w:rsidR="00424A4B" w:rsidRPr="00424A4B" w:rsidRDefault="004E7D56" w:rsidP="00F75BFB">
      <w:pPr>
        <w:spacing w:before="120"/>
        <w:ind w:firstLine="567"/>
        <w:jc w:val="both"/>
        <w:rPr>
          <w:b/>
          <w:bCs/>
          <w:spacing w:val="2"/>
        </w:rPr>
      </w:pPr>
      <w:r>
        <w:rPr>
          <w:b/>
          <w:bCs/>
          <w:spacing w:val="2"/>
        </w:rPr>
        <w:t xml:space="preserve">2. </w:t>
      </w:r>
      <w:r w:rsidR="007816C8">
        <w:rPr>
          <w:b/>
          <w:bCs/>
          <w:spacing w:val="2"/>
        </w:rPr>
        <w:t>Văn bản quy phạm pháp luật có liên quan đến chính sách</w:t>
      </w:r>
      <w:r w:rsidR="00424A4B" w:rsidRPr="00424A4B">
        <w:rPr>
          <w:b/>
          <w:bCs/>
          <w:spacing w:val="2"/>
        </w:rPr>
        <w:t xml:space="preserve"> </w:t>
      </w:r>
    </w:p>
    <w:tbl>
      <w:tblPr>
        <w:tblStyle w:val="TableGrid"/>
        <w:tblW w:w="14737" w:type="dxa"/>
        <w:tblLook w:val="04A0" w:firstRow="1" w:lastRow="0" w:firstColumn="1" w:lastColumn="0" w:noHBand="0" w:noVBand="1"/>
      </w:tblPr>
      <w:tblGrid>
        <w:gridCol w:w="4106"/>
        <w:gridCol w:w="4961"/>
        <w:gridCol w:w="2694"/>
        <w:gridCol w:w="2976"/>
      </w:tblGrid>
      <w:tr w:rsidR="00424A4B" w:rsidRPr="00D510AD" w14:paraId="06672CD5" w14:textId="77777777" w:rsidTr="004A3BA3">
        <w:trPr>
          <w:tblHeader/>
        </w:trPr>
        <w:tc>
          <w:tcPr>
            <w:tcW w:w="4106" w:type="dxa"/>
            <w:vAlign w:val="center"/>
          </w:tcPr>
          <w:p w14:paraId="4488237B" w14:textId="34B2038F" w:rsidR="00424A4B" w:rsidRPr="00D510AD" w:rsidRDefault="002F08EF" w:rsidP="00424A4B">
            <w:pPr>
              <w:jc w:val="center"/>
              <w:rPr>
                <w:b/>
                <w:bCs/>
                <w:sz w:val="26"/>
                <w:szCs w:val="26"/>
              </w:rPr>
            </w:pPr>
            <w:r>
              <w:rPr>
                <w:b/>
                <w:bCs/>
                <w:sz w:val="26"/>
                <w:szCs w:val="26"/>
              </w:rPr>
              <w:t>CHÍNH SÁCH/</w:t>
            </w:r>
            <w:r w:rsidRPr="00D510AD">
              <w:rPr>
                <w:b/>
                <w:bCs/>
                <w:sz w:val="26"/>
                <w:szCs w:val="26"/>
              </w:rPr>
              <w:t>QUY ĐỊNH CỦA DỰ THẢO</w:t>
            </w:r>
          </w:p>
        </w:tc>
        <w:tc>
          <w:tcPr>
            <w:tcW w:w="4961" w:type="dxa"/>
            <w:vAlign w:val="center"/>
          </w:tcPr>
          <w:p w14:paraId="35C60359" w14:textId="21881A6D" w:rsidR="00424A4B" w:rsidRPr="00D510AD" w:rsidRDefault="007816C8" w:rsidP="00424A4B">
            <w:pPr>
              <w:jc w:val="center"/>
              <w:rPr>
                <w:b/>
                <w:bCs/>
                <w:sz w:val="26"/>
                <w:szCs w:val="26"/>
              </w:rPr>
            </w:pPr>
            <w:r w:rsidRPr="00D510AD">
              <w:rPr>
                <w:b/>
                <w:bCs/>
                <w:sz w:val="26"/>
                <w:szCs w:val="26"/>
              </w:rPr>
              <w:t xml:space="preserve">QUY ĐỊNH CỦA </w:t>
            </w:r>
            <w:r w:rsidR="00175A27" w:rsidRPr="00D510AD">
              <w:rPr>
                <w:b/>
                <w:bCs/>
                <w:sz w:val="26"/>
                <w:szCs w:val="26"/>
              </w:rPr>
              <w:t>PHÁP LUẬT HIỆN HÀNH CÓ LIÊN QUAN</w:t>
            </w:r>
          </w:p>
        </w:tc>
        <w:tc>
          <w:tcPr>
            <w:tcW w:w="2694" w:type="dxa"/>
            <w:vAlign w:val="center"/>
          </w:tcPr>
          <w:p w14:paraId="087B2E39" w14:textId="6A7C1D55" w:rsidR="00424A4B" w:rsidRPr="00D510AD" w:rsidRDefault="00424A4B" w:rsidP="00424A4B">
            <w:pPr>
              <w:jc w:val="center"/>
              <w:rPr>
                <w:b/>
                <w:bCs/>
                <w:sz w:val="26"/>
                <w:szCs w:val="26"/>
              </w:rPr>
            </w:pPr>
            <w:r w:rsidRPr="00D510AD">
              <w:rPr>
                <w:b/>
                <w:bCs/>
                <w:sz w:val="26"/>
                <w:szCs w:val="26"/>
              </w:rPr>
              <w:t>ĐÁNH GIÁ (</w:t>
            </w:r>
            <w:r w:rsidR="00175A27" w:rsidRPr="00D510AD">
              <w:rPr>
                <w:b/>
                <w:bCs/>
                <w:sz w:val="26"/>
                <w:szCs w:val="26"/>
              </w:rPr>
              <w:t>Tính hợp hiến, tính hợp pháp, tính thống nhất</w:t>
            </w:r>
            <w:r w:rsidRPr="00D510AD">
              <w:rPr>
                <w:b/>
                <w:bCs/>
                <w:sz w:val="26"/>
                <w:szCs w:val="26"/>
              </w:rPr>
              <w:t>)</w:t>
            </w:r>
          </w:p>
        </w:tc>
        <w:tc>
          <w:tcPr>
            <w:tcW w:w="2976" w:type="dxa"/>
            <w:vAlign w:val="center"/>
          </w:tcPr>
          <w:p w14:paraId="78A8FFB8" w14:textId="1A4CD5A0" w:rsidR="00424A4B" w:rsidRPr="00D510AD" w:rsidRDefault="00424A4B" w:rsidP="00424A4B">
            <w:pPr>
              <w:jc w:val="center"/>
              <w:rPr>
                <w:b/>
                <w:bCs/>
                <w:sz w:val="26"/>
                <w:szCs w:val="26"/>
              </w:rPr>
            </w:pPr>
            <w:r w:rsidRPr="00D510AD">
              <w:rPr>
                <w:b/>
                <w:bCs/>
                <w:sz w:val="26"/>
                <w:szCs w:val="26"/>
              </w:rPr>
              <w:t>Đề xuất Xử lý</w:t>
            </w:r>
          </w:p>
        </w:tc>
      </w:tr>
      <w:tr w:rsidR="00424A4B" w:rsidRPr="00D510AD" w14:paraId="159FA8A0" w14:textId="77777777" w:rsidTr="000C71E8">
        <w:tc>
          <w:tcPr>
            <w:tcW w:w="4106" w:type="dxa"/>
            <w:vAlign w:val="center"/>
          </w:tcPr>
          <w:p w14:paraId="3F2FABF0" w14:textId="79A58645" w:rsidR="00424A4B" w:rsidRPr="00D510AD" w:rsidRDefault="007816C8" w:rsidP="00D510AD">
            <w:pPr>
              <w:jc w:val="both"/>
              <w:rPr>
                <w:sz w:val="26"/>
                <w:szCs w:val="26"/>
              </w:rPr>
            </w:pPr>
            <w:r w:rsidRPr="00D510AD">
              <w:rPr>
                <w:sz w:val="26"/>
                <w:szCs w:val="26"/>
              </w:rPr>
              <w:t xml:space="preserve">Ban hành </w:t>
            </w:r>
            <w:r w:rsidRPr="00D510AD">
              <w:rPr>
                <w:sz w:val="26"/>
                <w:szCs w:val="26"/>
                <w:lang w:val="vi-VN"/>
              </w:rPr>
              <w:t xml:space="preserve">Quy chế phối hợp cung cấp thông tin để kiểm tra, đối chiếu kết quả đăng nhập dữ liệu tài sản công vào cơ sở dữ liệu quốc gia và sử dụng thông tin lưu giữ </w:t>
            </w:r>
            <w:r w:rsidRPr="00D510AD">
              <w:rPr>
                <w:sz w:val="26"/>
                <w:szCs w:val="26"/>
              </w:rPr>
              <w:t>tr</w:t>
            </w:r>
            <w:r w:rsidRPr="00D510AD">
              <w:rPr>
                <w:sz w:val="26"/>
                <w:szCs w:val="26"/>
                <w:lang w:val="vi-VN"/>
              </w:rPr>
              <w:t>ong cơ sở dữ liệu quốc gia trên địa bàn tỉnh Quảng Ngãi</w:t>
            </w:r>
          </w:p>
        </w:tc>
        <w:tc>
          <w:tcPr>
            <w:tcW w:w="4961" w:type="dxa"/>
            <w:vAlign w:val="center"/>
          </w:tcPr>
          <w:p w14:paraId="7EE6A2E8" w14:textId="77777777" w:rsidR="00424A4B" w:rsidRPr="00D510AD" w:rsidRDefault="00BD7BB9" w:rsidP="00D510AD">
            <w:pPr>
              <w:jc w:val="both"/>
              <w:rPr>
                <w:spacing w:val="4"/>
                <w:sz w:val="26"/>
                <w:szCs w:val="26"/>
              </w:rPr>
            </w:pPr>
            <w:r w:rsidRPr="00D510AD">
              <w:rPr>
                <w:spacing w:val="4"/>
                <w:sz w:val="26"/>
                <w:szCs w:val="26"/>
              </w:rPr>
              <w:t>- Luật Quản lý, sử dụng tài sản công;</w:t>
            </w:r>
          </w:p>
          <w:p w14:paraId="2FCB0F5E" w14:textId="75E1EA6E" w:rsidR="00BD7BB9" w:rsidRPr="00D510AD" w:rsidRDefault="00BD7BB9" w:rsidP="00D510AD">
            <w:pPr>
              <w:spacing w:before="60"/>
              <w:jc w:val="both"/>
              <w:rPr>
                <w:sz w:val="26"/>
                <w:szCs w:val="26"/>
              </w:rPr>
            </w:pPr>
            <w:r w:rsidRPr="00D510AD">
              <w:rPr>
                <w:sz w:val="26"/>
                <w:szCs w:val="26"/>
              </w:rPr>
              <w:t>- Nghị định số 43/2022/NĐ-CP ngày 24 tháng 6 năm 2022 của Chính phủ quy định việc quản lý, sử dụng và khai thác tài sản kết cấu hạ tầng cấp nước sạch;</w:t>
            </w:r>
          </w:p>
          <w:p w14:paraId="1C194338" w14:textId="79F02411" w:rsidR="00BD7BB9" w:rsidRPr="00D510AD" w:rsidRDefault="00BD7BB9" w:rsidP="00D510AD">
            <w:pPr>
              <w:spacing w:before="60"/>
              <w:jc w:val="both"/>
              <w:rPr>
                <w:sz w:val="26"/>
                <w:szCs w:val="26"/>
              </w:rPr>
            </w:pPr>
            <w:r w:rsidRPr="00D510AD">
              <w:rPr>
                <w:sz w:val="26"/>
                <w:szCs w:val="26"/>
              </w:rPr>
              <w:t>- Nghị định số 44/2024/NĐ-CP ngày 24 tháng 4 năm 2024 của Chính phủ quy định việc quản lý, sử dụng và khai thác tài sản kết cấu hạ tầng giao thông đường bộ;</w:t>
            </w:r>
          </w:p>
          <w:p w14:paraId="10348C6B" w14:textId="70B51691" w:rsidR="00BD7BB9" w:rsidRPr="00D510AD" w:rsidRDefault="00BD7BB9" w:rsidP="00D510AD">
            <w:pPr>
              <w:spacing w:before="60"/>
              <w:jc w:val="both"/>
              <w:rPr>
                <w:sz w:val="26"/>
                <w:szCs w:val="26"/>
              </w:rPr>
            </w:pPr>
            <w:r w:rsidRPr="00D510AD">
              <w:rPr>
                <w:sz w:val="26"/>
                <w:szCs w:val="26"/>
              </w:rPr>
              <w:t>- Nghị định số 60/2024/NĐ-CP ngày 5 tháng 6 năm 2024 của Chính phủ quy định việc phát triển và quản lý chợ;</w:t>
            </w:r>
          </w:p>
          <w:p w14:paraId="4AFBACE0" w14:textId="419A9526" w:rsidR="00BD7BB9" w:rsidRPr="00D510AD" w:rsidRDefault="00BD7BB9" w:rsidP="00D510AD">
            <w:pPr>
              <w:spacing w:before="60"/>
              <w:jc w:val="both"/>
              <w:rPr>
                <w:sz w:val="26"/>
                <w:szCs w:val="26"/>
              </w:rPr>
            </w:pPr>
            <w:r w:rsidRPr="00D510AD">
              <w:rPr>
                <w:sz w:val="26"/>
                <w:szCs w:val="26"/>
              </w:rPr>
              <w:lastRenderedPageBreak/>
              <w:t>- Nghị định số 77/2025/NĐ-CP ngày 01 tháng 4 năm 2025 của Chính phủ quy định thẩm quyền, thủ tục xác lập sở hữu toàn dân về tài sản và xử lý đối với tài sản được xác lập quyền sở hữu toàn dân;</w:t>
            </w:r>
          </w:p>
          <w:p w14:paraId="3423FC92" w14:textId="1F3AF5F7" w:rsidR="00BD7BB9" w:rsidRPr="00D510AD" w:rsidRDefault="00BD7BB9" w:rsidP="00D510AD">
            <w:pPr>
              <w:spacing w:before="60"/>
              <w:jc w:val="both"/>
              <w:rPr>
                <w:sz w:val="26"/>
                <w:szCs w:val="26"/>
              </w:rPr>
            </w:pPr>
            <w:r w:rsidRPr="00D510AD">
              <w:rPr>
                <w:sz w:val="26"/>
                <w:szCs w:val="26"/>
              </w:rPr>
              <w:t xml:space="preserve">- </w:t>
            </w:r>
            <w:r w:rsidRPr="00D510AD">
              <w:rPr>
                <w:sz w:val="26"/>
                <w:szCs w:val="26"/>
                <w:lang w:val="vi-VN"/>
              </w:rPr>
              <w:t xml:space="preserve">Nghị định số </w:t>
            </w:r>
            <w:r w:rsidRPr="00D510AD">
              <w:rPr>
                <w:sz w:val="26"/>
                <w:szCs w:val="26"/>
              </w:rPr>
              <w:t>186/2025</w:t>
            </w:r>
            <w:r w:rsidRPr="00D510AD">
              <w:rPr>
                <w:sz w:val="26"/>
                <w:szCs w:val="26"/>
                <w:lang w:val="vi-VN"/>
              </w:rPr>
              <w:t xml:space="preserve">/NĐ-CP ngày </w:t>
            </w:r>
            <w:r w:rsidRPr="00D510AD">
              <w:rPr>
                <w:sz w:val="26"/>
                <w:szCs w:val="26"/>
              </w:rPr>
              <w:t>01</w:t>
            </w:r>
            <w:r w:rsidRPr="00D510AD">
              <w:rPr>
                <w:sz w:val="26"/>
                <w:szCs w:val="26"/>
                <w:lang w:val="vi-VN"/>
              </w:rPr>
              <w:t xml:space="preserve"> tháng </w:t>
            </w:r>
            <w:r w:rsidRPr="00D510AD">
              <w:rPr>
                <w:sz w:val="26"/>
                <w:szCs w:val="26"/>
              </w:rPr>
              <w:t>7</w:t>
            </w:r>
            <w:r w:rsidRPr="00D510AD">
              <w:rPr>
                <w:sz w:val="26"/>
                <w:szCs w:val="26"/>
                <w:lang w:val="vi-VN"/>
              </w:rPr>
              <w:t xml:space="preserve"> năm 20</w:t>
            </w:r>
            <w:r w:rsidRPr="00D510AD">
              <w:rPr>
                <w:sz w:val="26"/>
                <w:szCs w:val="26"/>
              </w:rPr>
              <w:t>25</w:t>
            </w:r>
            <w:r w:rsidRPr="00D510AD">
              <w:rPr>
                <w:sz w:val="26"/>
                <w:szCs w:val="26"/>
                <w:lang w:val="vi-VN"/>
              </w:rPr>
              <w:t xml:space="preserve"> của Ch</w:t>
            </w:r>
            <w:r w:rsidRPr="00D510AD">
              <w:rPr>
                <w:sz w:val="26"/>
                <w:szCs w:val="26"/>
              </w:rPr>
              <w:t>í</w:t>
            </w:r>
            <w:r w:rsidRPr="00D510AD">
              <w:rPr>
                <w:sz w:val="26"/>
                <w:szCs w:val="26"/>
                <w:lang w:val="vi-VN"/>
              </w:rPr>
              <w:t>nh phủ quy định ch</w:t>
            </w:r>
            <w:r w:rsidRPr="00D510AD">
              <w:rPr>
                <w:sz w:val="26"/>
                <w:szCs w:val="26"/>
              </w:rPr>
              <w:t xml:space="preserve">i </w:t>
            </w:r>
            <w:r w:rsidRPr="00D510AD">
              <w:rPr>
                <w:sz w:val="26"/>
                <w:szCs w:val="26"/>
                <w:lang w:val="vi-VN"/>
              </w:rPr>
              <w:t>tiết một số điều của Luật quản lý, sử dụng tài sản công;</w:t>
            </w:r>
          </w:p>
          <w:p w14:paraId="22E3F7BF" w14:textId="35541119" w:rsidR="00BD7BB9" w:rsidRPr="00D510AD" w:rsidRDefault="00BD7BB9" w:rsidP="00D510AD">
            <w:pPr>
              <w:jc w:val="both"/>
              <w:rPr>
                <w:sz w:val="26"/>
                <w:szCs w:val="26"/>
              </w:rPr>
            </w:pPr>
            <w:r w:rsidRPr="00D510AD">
              <w:rPr>
                <w:sz w:val="26"/>
                <w:szCs w:val="26"/>
              </w:rPr>
              <w:t>-</w:t>
            </w:r>
            <w:r w:rsidRPr="00D510AD">
              <w:rPr>
                <w:sz w:val="26"/>
                <w:szCs w:val="26"/>
                <w:lang w:val="vi-VN"/>
              </w:rPr>
              <w:t xml:space="preserve"> Thông tư số 67/2018/TT-BTC ngày 6 tháng 8 năm 2018 của </w:t>
            </w:r>
            <w:r w:rsidRPr="00D510AD">
              <w:rPr>
                <w:sz w:val="26"/>
                <w:szCs w:val="26"/>
              </w:rPr>
              <w:t xml:space="preserve">Bộ trưởng </w:t>
            </w:r>
            <w:r w:rsidRPr="00D510AD">
              <w:rPr>
                <w:sz w:val="26"/>
                <w:szCs w:val="26"/>
                <w:lang w:val="vi-VN"/>
              </w:rPr>
              <w:t>Bộ Tài ch</w:t>
            </w:r>
            <w:r w:rsidRPr="00D510AD">
              <w:rPr>
                <w:sz w:val="26"/>
                <w:szCs w:val="26"/>
              </w:rPr>
              <w:t>í</w:t>
            </w:r>
            <w:r w:rsidRPr="00D510AD">
              <w:rPr>
                <w:sz w:val="26"/>
                <w:szCs w:val="26"/>
                <w:lang w:val="vi-VN"/>
              </w:rPr>
              <w:t>nh hướng dẫn việc quản lý, vận hành, trao đổi và khai thác thông tin trong Cơ sở dữ liệu quốc gia về tài sản công</w:t>
            </w:r>
          </w:p>
        </w:tc>
        <w:tc>
          <w:tcPr>
            <w:tcW w:w="2694" w:type="dxa"/>
            <w:vAlign w:val="center"/>
          </w:tcPr>
          <w:p w14:paraId="5E679E9E" w14:textId="77777777" w:rsidR="00424A4B" w:rsidRPr="00D510AD" w:rsidRDefault="00012804" w:rsidP="00D510AD">
            <w:pPr>
              <w:jc w:val="both"/>
              <w:rPr>
                <w:sz w:val="26"/>
                <w:szCs w:val="26"/>
              </w:rPr>
            </w:pPr>
            <w:r w:rsidRPr="00D510AD">
              <w:rPr>
                <w:sz w:val="26"/>
                <w:szCs w:val="26"/>
              </w:rPr>
              <w:lastRenderedPageBreak/>
              <w:t>- Phù hợp với quy định hiện hành của pháp luật.</w:t>
            </w:r>
          </w:p>
          <w:p w14:paraId="1EA420E6" w14:textId="663E1CDC" w:rsidR="00012804" w:rsidRPr="00D510AD" w:rsidRDefault="00012804" w:rsidP="00D510AD">
            <w:pPr>
              <w:jc w:val="both"/>
              <w:rPr>
                <w:sz w:val="26"/>
                <w:szCs w:val="26"/>
              </w:rPr>
            </w:pPr>
            <w:r w:rsidRPr="00D510AD">
              <w:rPr>
                <w:sz w:val="26"/>
                <w:szCs w:val="26"/>
              </w:rPr>
              <w:t>- Đảm bảo tính thống nhất quản lý trên địa bàn tỉnh Quảng Ngãi.</w:t>
            </w:r>
          </w:p>
        </w:tc>
        <w:tc>
          <w:tcPr>
            <w:tcW w:w="2976" w:type="dxa"/>
            <w:vAlign w:val="center"/>
          </w:tcPr>
          <w:p w14:paraId="198EC81C" w14:textId="32B91A5A" w:rsidR="00424A4B" w:rsidRPr="00D510AD" w:rsidRDefault="0053166F" w:rsidP="00D510AD">
            <w:pPr>
              <w:jc w:val="both"/>
              <w:rPr>
                <w:sz w:val="26"/>
                <w:szCs w:val="26"/>
              </w:rPr>
            </w:pPr>
            <w:r w:rsidRPr="00D510AD">
              <w:rPr>
                <w:spacing w:val="2"/>
                <w:sz w:val="26"/>
                <w:szCs w:val="26"/>
                <w:lang w:val="fr-FR"/>
              </w:rPr>
              <w:t xml:space="preserve">Xây dựng Quy chế </w:t>
            </w:r>
            <w:r w:rsidRPr="00D510AD">
              <w:rPr>
                <w:sz w:val="26"/>
                <w:szCs w:val="26"/>
                <w:lang w:val="vi-VN"/>
              </w:rPr>
              <w:t xml:space="preserve">phối hợp cung cấp thông tin để kiểm tra, đối chiếu kết quả đăng nhập dữ liệu tài sản công vào cơ sở dữ liệu quốc gia và sử dụng thông tin lưu giữ </w:t>
            </w:r>
            <w:r w:rsidRPr="00D510AD">
              <w:rPr>
                <w:sz w:val="26"/>
                <w:szCs w:val="26"/>
              </w:rPr>
              <w:t>tr</w:t>
            </w:r>
            <w:r w:rsidRPr="00D510AD">
              <w:rPr>
                <w:sz w:val="26"/>
                <w:szCs w:val="26"/>
                <w:lang w:val="vi-VN"/>
              </w:rPr>
              <w:t>ong cơ sở dữ liệu quốc gia trên địa bàn tỉnh Quảng Ngã</w:t>
            </w:r>
            <w:r w:rsidRPr="00D510AD">
              <w:rPr>
                <w:sz w:val="26"/>
                <w:szCs w:val="26"/>
              </w:rPr>
              <w:t xml:space="preserve">i thay thế Quyết định số 33/2019/QĐ-UBND ngày 20/12/2019 của UBND tỉnh </w:t>
            </w:r>
            <w:r w:rsidRPr="00D510AD">
              <w:rPr>
                <w:sz w:val="26"/>
                <w:szCs w:val="26"/>
                <w:lang w:val="vi-VN"/>
              </w:rPr>
              <w:t>Quảng Ngã</w:t>
            </w:r>
            <w:r w:rsidRPr="00D510AD">
              <w:rPr>
                <w:sz w:val="26"/>
                <w:szCs w:val="26"/>
              </w:rPr>
              <w:t xml:space="preserve">i (cũ) để </w:t>
            </w:r>
            <w:r w:rsidRPr="00D510AD">
              <w:rPr>
                <w:sz w:val="26"/>
                <w:szCs w:val="26"/>
              </w:rPr>
              <w:lastRenderedPageBreak/>
              <w:t>phù hợp với cơ chế quản lý nhà nước theo bộ máy chính quyền địa phương 02 cấp, phù hợp với phạm vi áp dụng của đơn vị hành chính tỉnh mới, quy mô áp dụng, đối tượng áp dụng.</w:t>
            </w:r>
          </w:p>
        </w:tc>
      </w:tr>
    </w:tbl>
    <w:p w14:paraId="421A01B8" w14:textId="77777777" w:rsidR="00424A4B" w:rsidRPr="002705E7" w:rsidRDefault="00424A4B" w:rsidP="002705E7">
      <w:pPr>
        <w:jc w:val="center"/>
      </w:pPr>
    </w:p>
    <w:sectPr w:rsidR="00424A4B" w:rsidRPr="002705E7" w:rsidSect="00102A9E">
      <w:pgSz w:w="16840" w:h="11907" w:orient="landscape"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5E7"/>
    <w:rsid w:val="000015E1"/>
    <w:rsid w:val="00012804"/>
    <w:rsid w:val="000C71E8"/>
    <w:rsid w:val="000E6BA7"/>
    <w:rsid w:val="00102A9E"/>
    <w:rsid w:val="00175A27"/>
    <w:rsid w:val="002268E3"/>
    <w:rsid w:val="002705E7"/>
    <w:rsid w:val="002F08EF"/>
    <w:rsid w:val="00315779"/>
    <w:rsid w:val="00351AE8"/>
    <w:rsid w:val="00424A4B"/>
    <w:rsid w:val="004A3BA3"/>
    <w:rsid w:val="004E7D56"/>
    <w:rsid w:val="0053166F"/>
    <w:rsid w:val="00673F2C"/>
    <w:rsid w:val="006C4ACC"/>
    <w:rsid w:val="007816C8"/>
    <w:rsid w:val="007C6B34"/>
    <w:rsid w:val="008E4017"/>
    <w:rsid w:val="009771E3"/>
    <w:rsid w:val="009B4437"/>
    <w:rsid w:val="00A478A6"/>
    <w:rsid w:val="00B00409"/>
    <w:rsid w:val="00BD7BB9"/>
    <w:rsid w:val="00C63B69"/>
    <w:rsid w:val="00D21509"/>
    <w:rsid w:val="00D510AD"/>
    <w:rsid w:val="00D62EE3"/>
    <w:rsid w:val="00DC47A0"/>
    <w:rsid w:val="00DD5948"/>
    <w:rsid w:val="00E21024"/>
    <w:rsid w:val="00F306F5"/>
    <w:rsid w:val="00F75BFB"/>
    <w:rsid w:val="00FF66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566E9"/>
  <w15:chartTrackingRefBased/>
  <w15:docId w15:val="{24034A73-6B49-49CB-8828-AE940DBB0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05E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705E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705E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705E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705E7"/>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2705E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705E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705E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705E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5E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705E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705E7"/>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705E7"/>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2705E7"/>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2705E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705E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705E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705E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705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05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705E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705E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705E7"/>
    <w:pPr>
      <w:spacing w:before="160"/>
      <w:jc w:val="center"/>
    </w:pPr>
    <w:rPr>
      <w:i/>
      <w:iCs/>
      <w:color w:val="404040" w:themeColor="text1" w:themeTint="BF"/>
    </w:rPr>
  </w:style>
  <w:style w:type="character" w:customStyle="1" w:styleId="QuoteChar">
    <w:name w:val="Quote Char"/>
    <w:basedOn w:val="DefaultParagraphFont"/>
    <w:link w:val="Quote"/>
    <w:uiPriority w:val="29"/>
    <w:rsid w:val="002705E7"/>
    <w:rPr>
      <w:i/>
      <w:iCs/>
      <w:color w:val="404040" w:themeColor="text1" w:themeTint="BF"/>
    </w:rPr>
  </w:style>
  <w:style w:type="paragraph" w:styleId="ListParagraph">
    <w:name w:val="List Paragraph"/>
    <w:basedOn w:val="Normal"/>
    <w:uiPriority w:val="34"/>
    <w:qFormat/>
    <w:rsid w:val="002705E7"/>
    <w:pPr>
      <w:ind w:left="720"/>
      <w:contextualSpacing/>
    </w:pPr>
  </w:style>
  <w:style w:type="character" w:styleId="IntenseEmphasis">
    <w:name w:val="Intense Emphasis"/>
    <w:basedOn w:val="DefaultParagraphFont"/>
    <w:uiPriority w:val="21"/>
    <w:qFormat/>
    <w:rsid w:val="002705E7"/>
    <w:rPr>
      <w:i/>
      <w:iCs/>
      <w:color w:val="2F5496" w:themeColor="accent1" w:themeShade="BF"/>
    </w:rPr>
  </w:style>
  <w:style w:type="paragraph" w:styleId="IntenseQuote">
    <w:name w:val="Intense Quote"/>
    <w:basedOn w:val="Normal"/>
    <w:next w:val="Normal"/>
    <w:link w:val="IntenseQuoteChar"/>
    <w:uiPriority w:val="30"/>
    <w:qFormat/>
    <w:rsid w:val="002705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705E7"/>
    <w:rPr>
      <w:i/>
      <w:iCs/>
      <w:color w:val="2F5496" w:themeColor="accent1" w:themeShade="BF"/>
    </w:rPr>
  </w:style>
  <w:style w:type="character" w:styleId="IntenseReference">
    <w:name w:val="Intense Reference"/>
    <w:basedOn w:val="DefaultParagraphFont"/>
    <w:uiPriority w:val="32"/>
    <w:qFormat/>
    <w:rsid w:val="002705E7"/>
    <w:rPr>
      <w:b/>
      <w:bCs/>
      <w:smallCaps/>
      <w:color w:val="2F5496" w:themeColor="accent1" w:themeShade="BF"/>
      <w:spacing w:val="5"/>
    </w:rPr>
  </w:style>
  <w:style w:type="table" w:styleId="TableGrid">
    <w:name w:val="Table Grid"/>
    <w:basedOn w:val="TableNormal"/>
    <w:uiPriority w:val="39"/>
    <w:rsid w:val="00424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dothimyly</dc:creator>
  <cp:keywords/>
  <dc:description/>
  <cp:lastModifiedBy>dothimyly</cp:lastModifiedBy>
  <cp:revision>38</cp:revision>
  <cp:lastPrinted>2025-07-30T09:55:00Z</cp:lastPrinted>
  <dcterms:created xsi:type="dcterms:W3CDTF">2025-07-30T09:02:00Z</dcterms:created>
  <dcterms:modified xsi:type="dcterms:W3CDTF">2025-07-31T10:13:00Z</dcterms:modified>
</cp:coreProperties>
</file>